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single"/>
          <w:lang w:val="en-AU"/>
          <w14:textFill>
            <w14:solidFill>
              <w14:schemeClr w14:val="tx1"/>
            </w14:solidFill>
          </w14:textFill>
        </w:rPr>
        <w:t>General informatio</w:t>
      </w:r>
      <w:bookmarkStart w:id="0" w:name="_GoBack"/>
      <w:bookmarkEnd w:id="0"/>
      <w:r>
        <w:rPr>
          <w:color w:val="000000" w:themeColor="text1"/>
          <w:highlight w:val="none"/>
          <w:u w:val="single"/>
          <w:lang w:val="en-AU"/>
          <w14:textFill>
            <w14:solidFill>
              <w14:schemeClr w14:val="tx1"/>
            </w14:solidFill>
          </w14:textFill>
        </w:rPr>
        <w:t>n on iTech Labs process for RTP evaluation</w:t>
      </w:r>
    </w:p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1)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 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Calculated RTP is compared against client provided RTP.  Inconsistencies are worked through until the results match.</w:t>
      </w:r>
    </w:p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Simulations are based on client maths, game rules and paytables.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We run simulations long enough to get a stable RTP value to at least 2 decimals.  This is usually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1,000,000,000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 games.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ascii="Symbol" w:hAnsi="Symbol"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</w:t>
      </w:r>
      <w:r>
        <w:rPr>
          <w:rFonts w:ascii="Times New Roman" w:hAnsi="Times New Roman"/>
          <w:color w:val="000000" w:themeColor="text1"/>
          <w:sz w:val="14"/>
          <w:szCs w:val="14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Simulated RTP is compared against client provided RTP.  Inconsistencies are worked through until the results match.</w:t>
      </w:r>
    </w:p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RTP reporting accuracy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</w:p>
    <w:p>
      <w:pPr>
        <w:ind w:left="709"/>
        <w:rPr>
          <w:color w:val="000000" w:themeColor="text1"/>
          <w:highlight w:val="none"/>
          <w:u w:val="single"/>
          <w:lang w:val="en-AU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u w:val="single"/>
          <w:lang w:val="en-AU"/>
          <w14:textFill>
            <w14:solidFill>
              <w14:schemeClr w14:val="tx1"/>
            </w14:solidFill>
          </w14:textFill>
        </w:rPr>
        <w:t>Specific RTP information for</w:t>
      </w:r>
      <w:r>
        <w:rPr>
          <w:color w:val="000000" w:themeColor="text1"/>
          <w:highlight w:val="none"/>
          <w:u w:val="single"/>
          <w:lang w:val="en-I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highlight w:val="none"/>
          <w:u w:val="single"/>
          <w:lang w:val="en-GB"/>
          <w14:textFill>
            <w14:solidFill>
              <w14:schemeClr w14:val="tx1"/>
            </w14:solidFill>
          </w14:textFill>
        </w:rPr>
        <w:t>Clover Rollover 2</w:t>
      </w:r>
      <w:r>
        <w:rPr>
          <w:rFonts w:hint="default"/>
          <w:color w:val="000000" w:themeColor="text1"/>
          <w:highlight w:val="none"/>
          <w:u w:val="singl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highlight w:val="none"/>
          <w:u w:val="single"/>
          <w:lang w:val="en-IN"/>
          <w14:textFill>
            <w14:solidFill>
              <w14:schemeClr w14:val="tx1"/>
            </w14:solidFill>
          </w14:textFill>
        </w:rPr>
        <w:t>s</w:t>
      </w:r>
      <w:r>
        <w:rPr>
          <w:color w:val="000000" w:themeColor="text1"/>
          <w:highlight w:val="none"/>
          <w:u w:val="single"/>
          <w:lang w:val="en-AU"/>
          <w14:textFill>
            <w14:solidFill>
              <w14:schemeClr w14:val="tx1"/>
            </w14:solidFill>
          </w14:textFill>
        </w:rPr>
        <w:t>lot game</w:t>
      </w:r>
    </w:p>
    <w:p>
      <w:pPr>
        <w:ind w:left="709"/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highlight w:val="none"/>
          <w:u w:val="none"/>
          <w:lang w:val="en-GB"/>
          <w14:textFill>
            <w14:solidFill>
              <w14:schemeClr w14:val="tx1"/>
            </w14:solidFill>
          </w14:textFill>
        </w:rPr>
        <w:t xml:space="preserve">Clover Rollover 2 </w:t>
      </w:r>
      <w:r>
        <w:rPr>
          <w:rFonts w:hint="default"/>
          <w:color w:val="000000" w:themeColor="text1"/>
          <w:highlight w:val="none"/>
          <w:u w:val="non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highlight w:val="none"/>
          <w:u w:val="none"/>
          <w:lang w:val="en-AU"/>
          <w14:textFill>
            <w14:solidFill>
              <w14:schemeClr w14:val="tx1"/>
            </w14:solidFill>
          </w14:textFill>
        </w:rPr>
        <w:t>i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/>
                <w:color w:val="000000" w:themeColor="text1"/>
                <w:sz w:val="2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/>
                <w:b w:val="0"/>
                <w:bCs/>
                <w:color w:val="000000" w:themeColor="text1"/>
                <w:sz w:val="2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/>
                <w:b w:val="0"/>
                <w:bCs/>
                <w:color w:val="000000" w:themeColor="text1"/>
                <w:sz w:val="2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/>
                <w:b w:val="0"/>
                <w:bCs/>
                <w:color w:val="000000" w:themeColor="text1"/>
                <w:sz w:val="2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default"/>
                <w:b w:val="0"/>
                <w:bCs/>
                <w:color w:val="000000" w:themeColor="text1"/>
                <w:sz w:val="2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/>
                <w:color w:val="000000" w:themeColor="text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/>
                <w:color w:val="000000" w:themeColor="text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/>
                <w:color w:val="000000" w:themeColor="text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color w:val="000000" w:themeColor="text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color w:val="000000" w:themeColor="text1"/>
                <w:highlight w:val="none"/>
                <w:lang w:val="en-IN"/>
                <w14:textFill>
                  <w14:solidFill>
                    <w14:schemeClr w14:val="tx1"/>
                  </w14:solidFill>
                </w14:textFill>
              </w:rPr>
              <w:t>0.0</w:t>
            </w:r>
            <w:r>
              <w:rPr>
                <w:rFonts w:hint="default"/>
                <w:color w:val="000000" w:themeColor="text1"/>
                <w:highlight w:val="none"/>
                <w:lang w:val="en-GB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</w:tr>
    </w:tbl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Based on RTP simulations, we find the </w:t>
      </w:r>
      <w:r>
        <w:rPr>
          <w:rFonts w:hint="default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Eyecon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provided value for total RTP to be accurate for publication.  We recommend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9</w:t>
      </w:r>
      <w:r>
        <w:rPr>
          <w:rFonts w:hint="default"/>
          <w:color w:val="000000" w:themeColor="text1"/>
          <w:highlight w:val="none"/>
          <w:lang w:val="en-GB"/>
          <w14:textFill>
            <w14:solidFill>
              <w14:schemeClr w14:val="tx1"/>
            </w14:solidFill>
          </w14:textFill>
        </w:rPr>
        <w:t>3.023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%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, but also accept </w:t>
      </w:r>
      <w:r>
        <w:rPr>
          <w:rFonts w:hint="default"/>
          <w:color w:val="000000" w:themeColor="text1"/>
          <w:highlight w:val="none"/>
          <w:lang w:val="en-US"/>
          <w14:textFill>
            <w14:solidFill>
              <w14:schemeClr w14:val="tx1"/>
            </w14:solidFill>
          </w14:textFill>
        </w:rPr>
        <w:t>Eyecon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’s 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9</w:t>
      </w:r>
      <w:r>
        <w:rPr>
          <w:rFonts w:hint="default"/>
          <w:color w:val="000000" w:themeColor="text1"/>
          <w:highlight w:val="none"/>
          <w:lang w:val="en-GB"/>
          <w14:textFill>
            <w14:solidFill>
              <w14:schemeClr w14:val="tx1"/>
            </w14:solidFill>
          </w14:textFill>
        </w:rPr>
        <w:t>3.026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>%</w:t>
      </w:r>
      <w:r>
        <w:rPr>
          <w:color w:val="000000" w:themeColor="text1"/>
          <w:highlight w:val="none"/>
          <w:lang w:val="en-AU"/>
          <w14:textFill>
            <w14:solidFill>
              <w14:schemeClr w14:val="tx1"/>
            </w14:solidFill>
          </w14:textFill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8D422A5"/>
    <w:rsid w:val="09F4422A"/>
    <w:rsid w:val="0B4A4037"/>
    <w:rsid w:val="0D5D7BF4"/>
    <w:rsid w:val="0D606147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4C0D50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10</TotalTime>
  <ScaleCrop>false</ScaleCrop>
  <LinksUpToDate>false</LinksUpToDate>
  <CharactersWithSpaces>2707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2020-08-10T06:54:49Z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