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709"/>
        <w:rPr>
          <w:highlight w:val="none"/>
          <w:lang w:val="en-AU"/>
        </w:rPr>
      </w:pPr>
      <w:bookmarkStart w:id="0" w:name="_GoBack"/>
      <w:r>
        <w:rPr>
          <w:highlight w:val="none"/>
          <w:u w:val="single"/>
          <w:lang w:val="en-AU"/>
        </w:rPr>
        <w:t>General information on iTech Labs process for RTP evaluation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iTech Labs uses one of two methods for confirming game RTPs: 1) spreadsheet calculation, or 2) simulation.</w:t>
      </w:r>
    </w:p>
    <w:p>
      <w:pPr>
        <w:pStyle w:val="4"/>
        <w:ind w:left="1441" w:hanging="732"/>
        <w:rPr>
          <w:highlight w:val="none"/>
          <w:lang w:val="en-AU"/>
        </w:rPr>
      </w:pPr>
      <w:r>
        <w:rPr>
          <w:highlight w:val="none"/>
          <w:lang w:val="en-AU"/>
        </w:rPr>
        <w:t>1)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         </w:t>
      </w:r>
      <w:r>
        <w:rPr>
          <w:highlight w:val="none"/>
          <w:lang w:val="en-AU"/>
        </w:rPr>
        <w:t>Spreadsheet calculation is preferred as it is both more accurate and more easily auditable.  Where all game outcomes and their probabilities can be identified, summing (win * probability) gives expected value for the game which equals RTP.  Most table games, and some slot games can be calculated this way.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 xml:space="preserve">Spreadsheets are based on client maths.  Wins are from provided paytables and game rules.  Probabilities are determined from game events and rules.  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Calculated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2)            Where spreadsheet calculation is not possible (game requiring iteration, or strategy), or prohibitive (too complex), we use simulation.  Simulation relies on playing random games long enough to get a stable average return (RTP).  Most modern slot games, and most strategy games require simulation.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Simulations are based on client maths, game rules and paytables.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use a Mersenne Twister RNG to provide good quality random numbers as input to the simulator.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 xml:space="preserve">We run simulations long enough to get a stable RTP value to at least 2 decimals.  This is usually </w:t>
      </w:r>
      <w:r>
        <w:rPr>
          <w:highlight w:val="none"/>
          <w:lang w:val="en-AU"/>
        </w:rPr>
        <w:t>1,000,000,000</w:t>
      </w:r>
      <w:r>
        <w:rPr>
          <w:highlight w:val="none"/>
          <w:lang w:val="en-AU"/>
        </w:rPr>
        <w:t xml:space="preserve"> games.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run 2 or more simulations to ensure that they converge to the same RTP value (to 2 decimals).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b/>
          <w:bCs/>
          <w:highlight w:val="none"/>
          <w:lang w:val="en-AU"/>
        </w:rPr>
        <w:t>RTP reporting accuracy</w:t>
      </w:r>
      <w:r>
        <w:rPr>
          <w:highlight w:val="none"/>
          <w:lang w:val="en-AU"/>
        </w:rPr>
        <w:t>: At the end of theoretical RTP review, we are confident that the game RTP is accurate to the decimal places provided.  For slot high variance slot games we recommend using 1 decimal e.g. 96.1%, as players would need more than 100 million games to approach this accuracy.  For low variance table games we recommend 2 decimals e.g. 98.76% as this allows comparison with literature giving player strategy and advice.</w:t>
      </w:r>
    </w:p>
    <w:p>
      <w:pPr>
        <w:ind w:left="709"/>
        <w:rPr>
          <w:highlight w:val="none"/>
          <w:lang w:val="en-AU"/>
        </w:rPr>
      </w:pPr>
    </w:p>
    <w:p>
      <w:pPr>
        <w:ind w:left="709"/>
        <w:rPr>
          <w:highlight w:val="none"/>
          <w:u w:val="single"/>
          <w:lang w:val="en-AU"/>
        </w:rPr>
      </w:pPr>
      <w:r>
        <w:rPr>
          <w:highlight w:val="none"/>
          <w:u w:val="single"/>
          <w:lang w:val="en-AU"/>
        </w:rPr>
        <w:t>Specific RTP information for</w:t>
      </w:r>
      <w:r>
        <w:rPr>
          <w:highlight w:val="none"/>
          <w:u w:val="single"/>
          <w:lang w:val="en-IN"/>
        </w:rPr>
        <w:t xml:space="preserve"> </w:t>
      </w:r>
      <w:r>
        <w:rPr>
          <w:rFonts w:hint="default"/>
          <w:highlight w:val="none"/>
          <w:u w:val="single"/>
          <w:lang w:val="en-IN"/>
        </w:rPr>
        <w:t>GetsTheWorm</w:t>
      </w:r>
      <w:r>
        <w:rPr>
          <w:rFonts w:hint="default"/>
          <w:highlight w:val="none"/>
          <w:u w:val="single"/>
          <w:lang w:val="en-US"/>
        </w:rPr>
        <w:t xml:space="preserve"> </w:t>
      </w:r>
      <w:r>
        <w:rPr>
          <w:highlight w:val="none"/>
          <w:u w:val="single"/>
          <w:lang w:val="en-IN"/>
        </w:rPr>
        <w:t>s</w:t>
      </w:r>
      <w:r>
        <w:rPr>
          <w:highlight w:val="none"/>
          <w:u w:val="single"/>
          <w:lang w:val="en-AU"/>
        </w:rPr>
        <w:t>lot game</w:t>
      </w:r>
    </w:p>
    <w:p>
      <w:pPr>
        <w:ind w:left="709"/>
        <w:rPr>
          <w:highlight w:val="none"/>
          <w:lang w:val="en-AU"/>
        </w:rPr>
      </w:pPr>
      <w:r>
        <w:rPr>
          <w:rFonts w:hint="default"/>
          <w:highlight w:val="none"/>
          <w:u w:val="none"/>
          <w:lang w:val="en-IN"/>
        </w:rPr>
        <w:t>GetsTheWorm</w:t>
      </w:r>
      <w:r>
        <w:rPr>
          <w:rFonts w:hint="default"/>
          <w:highlight w:val="none"/>
          <w:u w:val="none"/>
          <w:lang w:val="en-US"/>
        </w:rPr>
        <w:t xml:space="preserve"> </w:t>
      </w:r>
      <w:r>
        <w:rPr>
          <w:highlight w:val="none"/>
          <w:u w:val="none"/>
          <w:lang w:val="en-AU"/>
        </w:rPr>
        <w:t>i</w:t>
      </w:r>
      <w:r>
        <w:rPr>
          <w:highlight w:val="none"/>
          <w:lang w:val="en-AU"/>
        </w:rPr>
        <w:t>s a new game.  We have confirmed RTP using simulation.  A total of 1,000,000,000 games were simulated.  Here are the results.</w:t>
      </w:r>
    </w:p>
    <w:tbl>
      <w:tblPr>
        <w:tblStyle w:val="3"/>
        <w:tblW w:w="8879" w:type="dxa"/>
        <w:tblInd w:w="70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7"/>
        <w:gridCol w:w="2147"/>
        <w:gridCol w:w="2226"/>
        <w:gridCol w:w="220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highlight w:val="none"/>
              </w:rPr>
            </w:pPr>
          </w:p>
        </w:tc>
        <w:tc>
          <w:tcPr>
            <w:tcW w:w="2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iTech simulation</w:t>
            </w:r>
          </w:p>
        </w:tc>
        <w:tc>
          <w:tcPr>
            <w:tcW w:w="2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Client provided maths</w:t>
            </w:r>
          </w:p>
        </w:tc>
        <w:tc>
          <w:tcPr>
            <w:tcW w:w="2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Delta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default"/>
                <w:highlight w:val="none"/>
                <w:lang w:val="en-US"/>
              </w:rPr>
            </w:pPr>
            <w:r>
              <w:rPr>
                <w:highlight w:val="none"/>
              </w:rPr>
              <w:t>Total RTP</w:t>
            </w:r>
          </w:p>
        </w:tc>
        <w:tc>
          <w:tcPr>
            <w:tcW w:w="2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rFonts w:hint="default"/>
                <w:b w:val="0"/>
                <w:bCs/>
                <w:sz w:val="21"/>
                <w:highlight w:val="none"/>
                <w:lang w:val="en-IN"/>
              </w:rPr>
              <w:t>95.114%</w:t>
            </w:r>
          </w:p>
        </w:tc>
        <w:tc>
          <w:tcPr>
            <w:tcW w:w="2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rFonts w:hint="default"/>
                <w:highlight w:val="none"/>
                <w:lang w:val="en-IN"/>
              </w:rPr>
              <w:t>95.113%</w:t>
            </w:r>
          </w:p>
        </w:tc>
        <w:tc>
          <w:tcPr>
            <w:tcW w:w="2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default"/>
                <w:highlight w:val="none"/>
                <w:lang w:val="en-IN"/>
              </w:rPr>
            </w:pPr>
            <w:r>
              <w:rPr>
                <w:highlight w:val="none"/>
                <w:lang w:val="en-IN"/>
              </w:rPr>
              <w:t>0.0</w:t>
            </w:r>
            <w:r>
              <w:rPr>
                <w:rFonts w:hint="default"/>
                <w:highlight w:val="none"/>
                <w:lang w:val="en-IN"/>
              </w:rPr>
              <w:t>01</w:t>
            </w:r>
          </w:p>
        </w:tc>
      </w:tr>
    </w:tbl>
    <w:p>
      <w:pPr>
        <w:rPr>
          <w:highlight w:val="none"/>
        </w:rPr>
      </w:pPr>
      <w:r>
        <w:rPr>
          <w:highlight w:val="none"/>
          <w:lang w:val="en-AU"/>
        </w:rPr>
        <w:t xml:space="preserve">Based on RTP simulations, we find the </w:t>
      </w:r>
      <w:r>
        <w:rPr>
          <w:rFonts w:hint="default"/>
          <w:highlight w:val="none"/>
          <w:lang w:val="en-US"/>
        </w:rPr>
        <w:t xml:space="preserve">Eyecon </w:t>
      </w:r>
      <w:r>
        <w:rPr>
          <w:highlight w:val="none"/>
          <w:lang w:val="en-AU"/>
        </w:rPr>
        <w:t>provided value for total RTP to be accurate for publication.  We recommend</w:t>
      </w:r>
      <w:r>
        <w:rPr>
          <w:rFonts w:hint="default"/>
          <w:highlight w:val="none"/>
          <w:lang w:val="en-IN"/>
        </w:rPr>
        <w:t xml:space="preserve"> </w:t>
      </w:r>
      <w:r>
        <w:rPr>
          <w:rFonts w:hint="default"/>
          <w:b w:val="0"/>
          <w:bCs/>
          <w:sz w:val="21"/>
          <w:highlight w:val="none"/>
          <w:lang w:val="en-IN"/>
        </w:rPr>
        <w:t>95.114</w:t>
      </w:r>
      <w:r>
        <w:rPr>
          <w:highlight w:val="none"/>
          <w:lang w:val="en-AU"/>
        </w:rPr>
        <w:t>%</w:t>
      </w:r>
      <w:r>
        <w:rPr>
          <w:highlight w:val="none"/>
          <w:lang w:val="en-AU"/>
        </w:rPr>
        <w:t xml:space="preserve">, but also accept </w:t>
      </w:r>
      <w:r>
        <w:rPr>
          <w:rFonts w:hint="default"/>
          <w:highlight w:val="none"/>
          <w:lang w:val="en-US"/>
        </w:rPr>
        <w:t>Eyecon</w:t>
      </w:r>
      <w:r>
        <w:rPr>
          <w:highlight w:val="none"/>
          <w:lang w:val="en-AU"/>
        </w:rPr>
        <w:t xml:space="preserve">’s </w:t>
      </w:r>
      <w:r>
        <w:rPr>
          <w:rFonts w:hint="default"/>
          <w:highlight w:val="none"/>
          <w:lang w:val="en-IN"/>
        </w:rPr>
        <w:t>95.113</w:t>
      </w:r>
      <w:r>
        <w:rPr>
          <w:highlight w:val="none"/>
          <w:lang w:val="en-AU"/>
        </w:rPr>
        <w:t>%</w:t>
      </w:r>
      <w:r>
        <w:rPr>
          <w:highlight w:val="none"/>
          <w:lang w:val="en-AU"/>
        </w:rPr>
        <w:t xml:space="preserve"> as being accurate within the confidence limits of our simulation.</w:t>
      </w:r>
    </w:p>
    <w:bookmarkEnd w:id="0"/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5BB"/>
    <w:rsid w:val="001A02D3"/>
    <w:rsid w:val="00384FF1"/>
    <w:rsid w:val="003B3B6A"/>
    <w:rsid w:val="003C75BB"/>
    <w:rsid w:val="009C72E7"/>
    <w:rsid w:val="00C41B50"/>
    <w:rsid w:val="011706CD"/>
    <w:rsid w:val="084F23F7"/>
    <w:rsid w:val="09F4422A"/>
    <w:rsid w:val="0A223A1B"/>
    <w:rsid w:val="0B4A4037"/>
    <w:rsid w:val="0D5D7BF4"/>
    <w:rsid w:val="0D606147"/>
    <w:rsid w:val="1522679B"/>
    <w:rsid w:val="156904D0"/>
    <w:rsid w:val="166A63A3"/>
    <w:rsid w:val="18463EBF"/>
    <w:rsid w:val="1883569A"/>
    <w:rsid w:val="201E1BC5"/>
    <w:rsid w:val="218D7F22"/>
    <w:rsid w:val="219A43B2"/>
    <w:rsid w:val="221E4DA3"/>
    <w:rsid w:val="24B473C2"/>
    <w:rsid w:val="24C061F2"/>
    <w:rsid w:val="2A273DB3"/>
    <w:rsid w:val="2AB67867"/>
    <w:rsid w:val="2C29262B"/>
    <w:rsid w:val="2E953429"/>
    <w:rsid w:val="30C12EF2"/>
    <w:rsid w:val="32810A24"/>
    <w:rsid w:val="333154C6"/>
    <w:rsid w:val="336A512A"/>
    <w:rsid w:val="33A53F5A"/>
    <w:rsid w:val="36726BD3"/>
    <w:rsid w:val="36945E99"/>
    <w:rsid w:val="39925731"/>
    <w:rsid w:val="3E053A2A"/>
    <w:rsid w:val="3F08183A"/>
    <w:rsid w:val="3FB137C8"/>
    <w:rsid w:val="3FC07825"/>
    <w:rsid w:val="41F31D41"/>
    <w:rsid w:val="43BB3834"/>
    <w:rsid w:val="44EE7519"/>
    <w:rsid w:val="458A0E52"/>
    <w:rsid w:val="4CF50257"/>
    <w:rsid w:val="4E204103"/>
    <w:rsid w:val="4F4C273A"/>
    <w:rsid w:val="4FD1562D"/>
    <w:rsid w:val="545C6657"/>
    <w:rsid w:val="559101D5"/>
    <w:rsid w:val="55F6171B"/>
    <w:rsid w:val="584652D1"/>
    <w:rsid w:val="59D7699D"/>
    <w:rsid w:val="5BD5202C"/>
    <w:rsid w:val="5C5B3D25"/>
    <w:rsid w:val="5D043247"/>
    <w:rsid w:val="5F684AA7"/>
    <w:rsid w:val="5FB130C4"/>
    <w:rsid w:val="60DF29E3"/>
    <w:rsid w:val="621C31CE"/>
    <w:rsid w:val="627B38B5"/>
    <w:rsid w:val="66052F51"/>
    <w:rsid w:val="66CF1E2E"/>
    <w:rsid w:val="677D62A6"/>
    <w:rsid w:val="709D0559"/>
    <w:rsid w:val="779042ED"/>
    <w:rsid w:val="784D1B77"/>
    <w:rsid w:val="78690372"/>
    <w:rsid w:val="79F37C19"/>
    <w:rsid w:val="7C753C4C"/>
    <w:rsid w:val="7DF7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Calibri" w:hAnsi="Calibri" w:cs="Times New Roman" w:eastAsiaTheme="minorHAnsi"/>
      <w:sz w:val="22"/>
      <w:szCs w:val="22"/>
      <w:lang w:val="en-US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spacing w:after="160" w:line="252" w:lineRule="auto"/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Toshiba</Company>
  <Pages>1</Pages>
  <Words>404</Words>
  <Characters>2308</Characters>
  <Lines>19</Lines>
  <Paragraphs>5</Paragraphs>
  <TotalTime>6</TotalTime>
  <ScaleCrop>false</ScaleCrop>
  <LinksUpToDate>false</LinksUpToDate>
  <CharactersWithSpaces>2707</CharactersWithSpaces>
  <Application>WPS Office_11.2.0.10152_F1E327BC-269C-435d-A152-05C5408002CA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2017-06-16T09:38:00Z</dcterms:created>
  <dc:creator>Raj Mora</dc:creator>
  <cp:lastModifiedBy>IGLOBAL</cp:lastModifiedBy>
  <dcterms:modified xsi:type="dcterms:W3CDTF">2021-06-16T10:56:05Z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1033-11.2.0.10152</vt:lpwstr>
  </property>
</Properties>
</file>