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yellow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yellow"/>
          <w:u w:val="single"/>
          <w:lang w:val="en-IN"/>
        </w:rPr>
        <w:t>Temple of Iris 2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yellow"/>
          <w:u w:val="none"/>
          <w:lang w:val="en-IN"/>
        </w:rPr>
        <w:t xml:space="preserve">Temple of Iris 2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yellow"/>
                <w:lang w:val="en-IN"/>
              </w:rPr>
              <w:t>95.425%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highlight w:val="yellow"/>
                <w:lang w:val="en-IN"/>
              </w:rPr>
              <w:t>9</w:t>
            </w:r>
            <w:r>
              <w:rPr>
                <w:rFonts w:hint="default"/>
                <w:highlight w:val="yellow"/>
                <w:lang w:val="en-IN"/>
              </w:rPr>
              <w:t>5</w:t>
            </w:r>
            <w:r>
              <w:rPr>
                <w:highlight w:val="yellow"/>
                <w:lang w:val="en-IN"/>
              </w:rPr>
              <w:t>.</w:t>
            </w:r>
            <w:r>
              <w:rPr>
                <w:rFonts w:hint="default"/>
                <w:highlight w:val="yellow"/>
                <w:lang w:val="en-IN"/>
              </w:rPr>
              <w:t>426</w:t>
            </w:r>
            <w:r>
              <w:rPr>
                <w:highlight w:val="yellow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yellow"/>
                <w:lang w:val="en-IN"/>
              </w:rPr>
            </w:pPr>
            <w:r>
              <w:rPr>
                <w:rFonts w:hint="default"/>
                <w:highlight w:val="yellow"/>
                <w:lang w:val="en-IN"/>
              </w:rPr>
              <w:t>-</w:t>
            </w:r>
            <w:r>
              <w:rPr>
                <w:highlight w:val="yellow"/>
                <w:lang w:val="en-IN"/>
              </w:rPr>
              <w:t>0.0</w:t>
            </w:r>
            <w:r>
              <w:rPr>
                <w:rFonts w:hint="default"/>
                <w:highlight w:val="yellow"/>
                <w:lang w:val="en-IN"/>
              </w:rPr>
              <w:t>01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</w:t>
      </w:r>
      <w:r>
        <w:rPr>
          <w:highlight w:val="yellow"/>
          <w:lang w:val="en-AU"/>
        </w:rPr>
        <w:t>.</w:t>
      </w:r>
      <w:r>
        <w:rPr>
          <w:rFonts w:hint="default"/>
          <w:highlight w:val="yellow"/>
          <w:lang w:val="en-IN"/>
        </w:rPr>
        <w:t>425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5.426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D7699D"/>
    <w:rsid w:val="5BD5202C"/>
    <w:rsid w:val="5C5B3D25"/>
    <w:rsid w:val="5D043247"/>
    <w:rsid w:val="5D4F762F"/>
    <w:rsid w:val="5E3712EF"/>
    <w:rsid w:val="5F684AA7"/>
    <w:rsid w:val="5FB130C4"/>
    <w:rsid w:val="60DF29E3"/>
    <w:rsid w:val="610132E8"/>
    <w:rsid w:val="621C31CE"/>
    <w:rsid w:val="627B38B5"/>
    <w:rsid w:val="627E6ED6"/>
    <w:rsid w:val="66052F51"/>
    <w:rsid w:val="66CF1E2E"/>
    <w:rsid w:val="677D62A6"/>
    <w:rsid w:val="6D2251BD"/>
    <w:rsid w:val="779042ED"/>
    <w:rsid w:val="784D1B77"/>
    <w:rsid w:val="78690372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</TotalTime>
  <ScaleCrop>false</ScaleCrop>
  <LinksUpToDate>false</LinksUpToDate>
  <CharactersWithSpaces>2707</CharactersWithSpaces>
  <Application>WPS Office_11.2.0.9085_F1E327BC-269C-435d-A152-05C5408002CA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Person</cp:lastModifiedBy>
  <dcterms:modified xsi:type="dcterms:W3CDTF">2020-03-02T06:13:35Z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1033-11.2.0.9085</vt:lpwstr>
  </property>
</Properties>
</file>